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135 vom 23. Februar 1972</w:t>
      </w:r>
    </w:p>
    <w:p>
      <w:r>
        <w:t>Bundesgericht (BGE), 1972-02-23, DE</w:t>
      </w:r>
    </w:p>
    <w:p>
      <w:r>
        <w:rPr>
          <w:b/>
        </w:rPr>
        <w:t xml:space="preserve">Quelle: </w:t>
      </w:r>
      <w:r>
        <w:t>https://mcp.opencaselaw.ch/entscheid/bge_98 IA 135</w:t>
      </w:r>
    </w:p>
    <w:p>
      <w:r>
        <w:t>FR: BGE 98 IA 135 du 23 février 1972</w:t>
      </w:r>
    </w:p>
    <w:p>
      <w:r>
        <w:t>IT: BGE 98 IA 135 del 23 febbraio 1972</w:t>
      </w:r>
    </w:p>
    <w:p>
      <w:pPr>
        <w:pStyle w:val="Heading2"/>
      </w:pPr>
      <w:r>
        <w:t>Regeste</w:t>
      </w:r>
    </w:p>
    <w:p>
      <w:r>
        <w:t>Regeste Art. 4 BV; kantonales Strafprozessrecht, Fristenlauf. Massgebend für den Beginn der Berufungsfrist nach Art. 142 StPO ist die tatsächliche Inempfangnahme des durch eingeschriebene Sendung zugestellten Urteils.</w:t>
      </w:r>
    </w:p>
    <w:p>
      <w:pPr>
        <w:pStyle w:val="Heading2"/>
      </w:pPr>
      <w:r>
        <w:t>Erwägungen</w:t>
      </w:r>
    </w:p>
    <w:p>
      <w:r>
        <w:rPr>
          <w:b/>
        </w:rPr>
        <w:t>E. 1</w:t>
      </w:r>
    </w:p>
    <w:p>
      <w:r>
        <w:t>Nach Art. 142 der Bündner Strafprozessordnung (StPO) ist die Berufung innert zwanzig Tagen seit der schriftlichen Eröffnung des Entscheides einzureichen. Unter der schriftlichen Eröffnung des Entscheides ist, wie sich aus Art. 128 Abs. 2 StPO ergibt, die Zustellung des schriftlichen Urteils zu verstehen. Nach Art. 64 StPO erfolgt die Zustellung der Gerichtsurteile, Einstellungsbeschlüsse und Strafmandate durch eingeschriebene Postsendung. Die Zustellung eingeschriebener Sendungen richtet sich nach den Vorschriften der Vollzugsverordnung I zum Postverkehrsgesetz vom 1. September 1967 (VV zum PVG) (AS 1967 S. 1457). Ist bei der Zustellung von eingeschriebenen Sendungen kein Bezugsberechtigter anzutreffen, so wird der Zustellversuch auf der Sendung vermerkt und eine Abholungseinladung mit Fristangabe hinterlassen; wird die Sendung innert sieben Tagen nicht abgeholt, gilt sie als unzustellbar (Art. 157 und 169 Abs. 1 lit. d VV zum PVG). Das Bundesgericht hat daraus stets geschlossen, dass eine eingeschriebene Sendung erst dann als zugestellt gilt, wenn sie innert Frist tatsächlich abgeholt wird ( BGE 97 I 98 , BGE 78 I 129 je mit Verweisungen), dies allerdings im Zusammenhang mit bundesrechtlichen Fristen. Die Auffassung des KGA, die Zustellung gelte an dem Tage als erfolgt, an welchem sie erfolgt wäre, wenn der Briefträger den Adressaten an dessen Domizil angetroffen hätte, ist jedoch auch im Rahmen des bündnerischen Strafprozessrechts nicht haltbar.</w:t>
      </w:r>
    </w:p>
    <w:p>
      <w:r>
        <w:rPr>
          <w:b/>
        </w:rPr>
        <w:t>E. 2</w:t>
      </w:r>
    </w:p>
    <w:p>
      <w:r>
        <w:t>Dass die Rechtsmittelfristen erst von der Zustellung des schriftlichen Urteils an zu laufen beginnen ( Art. 128 Abs. 2 StPO ), hat seinen Sinn im Anspruch auf rechtliches Gehör. Nach Art. 142 StPO ist die Berufung zu begründen. Um den Anforderungen dieser Vorschrift genügen zu können, muss der Betroffene die Gründe des anzufechtenden Urteils kennen. Von BGE 98 Ia 135 S. 137 dem ihm von Gesetzes wegen zustehenden Rechtsmittel der Berufung kann er somit nur dann gehörig Gebrauch machen, wenn er das schriftliche Urteil tatsächlich erhalten hat. Darum sieht die Strafprozessordnung auch die Zustellung durch eingeschriebene Postsendung vor, welche entweder dem Adressaten oder einem Bezugsberechtigten tatsächlich ausgehändigt wird oder dann eben als unzustellbar zurückgeht (Art. 157 und 169 Abs. 1 lit. d VV zum PVG). Ist die Übermittlung durch die Post nicht möglich, so ist nach der Vorschrift von Art. 64 Satz 2 StPO die Urkunde der Kantonspolizei zu übergeben, welche die Zustellung gegen Empfangsbestätigung besorgt. Das bedeutet, dass das schriftliche Urteil so lange nicht als zugestellt gelten kann, als es dem Betroffenen nicht tatsächlich ausgehändigt worden ist. Würde ungeachtet der tatsächlichen Inempfangnahme des Urteils die Rechtsmittelfrist bereits mit dem Zustellversuch des Briefträgers ausgelöst, so hätte die polizeiliche Zustellung wohl wenig Sinn mehr. Die vom KGA vertretene Auffassung steht auch nicht im Einklang mit den massgebenden Vorschriften über den Postverkehr, denen der Kanton sich unterstellt, wenn er die Gerichtsurkunden durch die Post übermitteln lässt. Denn wenn auf der Abholungseinladung dem Adressaten mitgeteilt wird, dass er die eingeschriebene Sendung innert sieben Tagen auf der Post abholen kann, andernfalls sie als unzustellbar zurückgeht, so heisst das, dass die Sendung nur als zugestellt gilt, wenn er sie entgegennimmt. Wer die Rechtsmittelfrist zu berechnen hat, kann sich somit weder auf den Wortlaut der Strafprozessordnung noch auf die Vorschriften über den Postverkehr verlassen, was jedenfalls für denjenigen, der ausserhalb des Kantons wohnt und von dem nicht verlangt werden kann, dass er mit der Praxis der Bündner Behörden zur Strafprozessordnung vertraut ist, stossend wirkt. Vor allem aber wird dem Betroffenen die Rechtsmittelfrist, die schon zu laufen beginnt, bevor er den anzufechtenden Entscheid in Händen hat, verkürzt, oder sie kann sogar ablaufen, ohne dass er darum gewusst und Gelegenheit zu deren Nutzung gehabt hätte. Darin liegt eine Beschränkung des mit dem Rechtsmittel eingeräumten Anspruchs auf Rechtswahrung, die offensichtlich gegen die der Sicherung des rechtlichen Gehörs dienenden kantonalen Prozessvorschriften verstösst, darüberhinaus aber auch den Anspruch auf rechtliches Gehör verletzt, BGE 98 Ia 135 S. 138 wie ihn unmittelbar Art. 4 BV gewährleistet ( BGE 96 I 36 , BGE 96 I 21 ). Die Annahme, dass schon der Zustellversuch die Rechtsmittelfrist auslöse, liesse sich mit Art. 4 BV nur im Falle einer Annahmeverweigerung vereinbaren oder allenfalls dann, wenn vom Betroffenen nach den Umständen hätte verlangt werden können, dass er eine längere Ortsabwesenheit der Poststelle oder der Behörde, deren Entscheid er erwartet, melde (vgl. BGE 78 I 129 ). Im Falle des Beschwerdeführers, der sich nach seiner unwiderlegten Darstellung nur kurze Zeit geschäftlich im Ausland aufhielt, kann nicht die Rede davon sein, dass er eine solche Einschränkung seines gesetzlichen Anspruchs auf gehörige Rechtswahrung auf sich zu nehmen habe.</w:t>
      </w:r>
    </w:p>
    <w:p>
      <w:r>
        <w:rPr>
          <w:b/>
        </w:rPr>
        <w:t>E. 3</w:t>
      </w:r>
    </w:p>
    <w:p>
      <w:r>
        <w:t>Etwas anderes dagegen ist es, wenn der Adressat über ein Postfach verfügt. Hier gilt die eingeschriebene Sendung grundsätzlich an dem Tage als zugestellt, an welchem die Eingangsanzeige ins Fach gelegt wird ( BGE 97 I 98 ). Dieser Standpunkt des Bundesgerichts widerspricht jedoch seiner oben dargelegten Rechtsprechung nicht, wie der KGA dies meint. Denn im Unterschied zum gewöhnlichen Postkunden anerkennt der Inhaber eines Postfachs, dass ihm die für die Fachbedienung bestimmten Sendungen grundsätzlich jederzeit gültig durch Einlage ins Postfach zugestellt werden können, die Einlage daher gleichsam an die Stelle der Zustellung durch tatsächliche Aushändigung tritt ( BGE 97 I 99 f.).</w:t>
      </w:r>
    </w:p>
    <w:p>
      <w:r>
        <w:rPr>
          <w:b/>
        </w:rPr>
        <w:t>E. 4</w:t>
      </w:r>
    </w:p>
    <w:p>
      <w:r>
        <w:t>Auch mit dem Hinweis auf das Interesse der Rechtssicherheit lässt sich die Auffassung des KGA nicht halten. Das Strafurteil zeitigt kaum Wirkungen, die über die Person des Verurteilten und einiger weiterer Betroffener hinausgehen. Mithin bleibt auch das Interesse an der Rechtskraft des Urteils vornehmlich auf diesen Personenkreis beschränkt. Demgegenüber ist das Interesse daran, dass der durch das Urteil in seiner Rechtsstellung Betroffene, wie insbesondere der Verurteilte, seinen Anspruch auf rechtliches Gehör wahrnehmen kann, von elementarer Bedeutung. Im übrigen ist kaum einzusehen, inwiefern ein Abstellen auf die tatsächliche Inempfangnahme des Entscheides die Rechtssicherheit gefährden sollte; es fragt sich vielmehr, ob nicht Unsicherheit geschaffen wird, wenn der Entscheid bei der effektiven Aushändigung bereits seit einiger Zeit als zugestellt gilt. Zwar anerkennt auch die bisherige bundesgerichtliche Rechtsprechung - mit Rücksicht auf die Rechtssicherheit - ein BGE 98 Ia 135 S. 139 fingiertes Zustelldatum, indem die eingeschriebene Sendung, die innert Frist auf der Post nicht abgeholt wird, mit dem letzten Tag der Abholfrist als zugestellt gilt. Für denjenigen, der die Sendung innert dieser siebentägigen Frist nicht abholen kann, was bei den heutigen Verhältnissen nicht ungewöhnlich ist, ergeben sich daraus die gleichen Konsequenzen, wie wenn die Sendung schon mit dem Tage des Zustellversuches als zugestellt zu betrachten wäre. Ob nach dem Gesagten an dieser Rechtsprechung festgehalten werden kann, steht hier jedoch nicht in Frage, da der Beschwerdeführer die Sendung innert Frist auf der Post geholt hat.</w:t>
      </w:r>
    </w:p>
    <w:p>
      <w:r>
        <w:rPr>
          <w:b/>
        </w:rPr>
        <w:t>E. 5</w:t>
      </w:r>
    </w:p>
    <w:p>
      <w:r>
        <w:t>Der Beschwerdeführer hat den Entscheid des Kreisgerichtsausschausses vom 23. April 1971 am 23. Juni 1971 auf der Post entgegengenommen. Die 20-tägige Berufungsfrist begann somit am darauffolgenden Tag zu laufen ( Art. 65 Abs. 3 StPO ) und endete am 13. Juli 1971 (sofern nicht bereits Gerichtsferien ihren Lauf hemmten). Die vom Beschwerdeführer am 9. Juli 1971 der Post übergebene Berufungserklärung ist innert Frist erfolgt. Der KGA, der auf die Berufung wegen Verspätung nicht eintrat, hat dem Beschwerdeführer das Recht verweigert.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